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el: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e-mail: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F81E87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F81E87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F81E87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F81E87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F81E87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br/>
      </w:r>
      <w:r w:rsidRPr="00F81E87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F81E87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Pr="00F81E87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F81E87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F81E87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F81E87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18779A7" w14:textId="04176CAC" w:rsidR="00931C25" w:rsidRPr="00F81E87" w:rsidRDefault="00AE0A92" w:rsidP="00931C25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Wsparcie obejmuje realizację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E85B66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bookmarkStart w:id="0" w:name="_GoBack"/>
      <w:bookmarkEnd w:id="0"/>
      <w:r w:rsidR="004126C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13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godzin dydaktycznych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seminariów </w:t>
      </w:r>
      <w:r w:rsidR="004126C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dla 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studentów</w:t>
      </w:r>
      <w:r w:rsidR="004710CF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w ramach Akademii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P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rzemysłu 4.0</w:t>
      </w:r>
      <w:r w:rsidR="00C51E7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edycja </w:t>
      </w:r>
      <w:r w:rsidR="002010D6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4126C3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V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Będą to zajęcia pilotażowe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prowadzone w oparciu o przygotowane w ramach projektu materiały dydaktyczn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 oraz zakupiony sprzęt. Seminaria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będą realizowane w </w:t>
      </w:r>
      <w:r w:rsidR="003E7BE6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 głownie w formie laboratoryjnej, pokazującej zastosowania najnowszych osiągnięć w dziedzinie informatyzacji i robotyzacji przemysłu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</w:p>
    <w:p w14:paraId="634DCFFF" w14:textId="7AD8890E" w:rsidR="00931C25" w:rsidRPr="00B121CA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 </w:t>
      </w:r>
      <w:r w:rsidR="00B121CA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–</w:t>
      </w: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</w:t>
      </w:r>
      <w:r w:rsidR="00B121CA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Fizyka</w:t>
      </w:r>
    </w:p>
    <w:p w14:paraId="07600E07" w14:textId="3D8507E7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II - 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Technika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</w:p>
    <w:p w14:paraId="121A272D" w14:textId="5EA46ABA" w:rsidR="00451D7C" w:rsidRPr="00F81E87" w:rsidRDefault="00826439" w:rsidP="00AE0A92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Podczas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seminariów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dużo uwagi poświęcone zostanie odnawialnym ź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ródłom energii i trans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f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ormacji ener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g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etycznej, która aktualnie zyskuje w przemyśle nowy wymiar. 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 ramach projektu nowoczesnym urządzeniom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studenci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będą mogli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zapoznać się z zastosowaniami rzeczywistości rozszerzonej oraz sztucz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ej inteli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gencji w nowoczesnym przemyśle, a także poznać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nowoczesne techniki wytwarzania oraz </w:t>
      </w:r>
      <w:r w:rsidR="00532023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nowoczesne metody ekologicznego wytwarzania energii.</w:t>
      </w:r>
      <w:r w:rsidR="00C51E7E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</w:p>
    <w:p w14:paraId="44A046AB" w14:textId="089C78EC" w:rsidR="00923854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jest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39F21A78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F34BE7" w:rsidRPr="00F81E87">
        <w:rPr>
          <w:rFonts w:cstheme="minorHAnsi"/>
          <w:color w:val="000000"/>
          <w:spacing w:val="-6"/>
          <w:sz w:val="20"/>
          <w:szCs w:val="20"/>
        </w:rPr>
        <w:t xml:space="preserve"> – blokach tematycznych</w:t>
      </w:r>
      <w:r w:rsidRPr="00F81E87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djazdy, windy, schodołazy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1F42ABA7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>prowadzona będzie w okresie od</w:t>
      </w:r>
      <w:r w:rsidR="004126C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4126C3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16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26C3">
        <w:rPr>
          <w:rFonts w:cstheme="minorHAnsi"/>
          <w:b/>
          <w:color w:val="000000" w:themeColor="text1"/>
          <w:spacing w:val="-6"/>
          <w:sz w:val="20"/>
          <w:szCs w:val="20"/>
        </w:rPr>
        <w:t>10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AB7097" w:rsidRPr="00AB7097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4126C3">
        <w:rPr>
          <w:rFonts w:cstheme="minorHAnsi"/>
          <w:b/>
          <w:color w:val="000000" w:themeColor="text1"/>
          <w:spacing w:val="-6"/>
          <w:sz w:val="20"/>
          <w:szCs w:val="20"/>
        </w:rPr>
        <w:t>5.11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62E3E304" w:rsidR="0053771F" w:rsidRPr="004126C3" w:rsidRDefault="005D68E9" w:rsidP="002F18EB">
      <w:pPr>
        <w:pStyle w:val="Akapitzlist"/>
        <w:numPr>
          <w:ilvl w:val="3"/>
          <w:numId w:val="16"/>
        </w:numPr>
        <w:tabs>
          <w:tab w:val="clear" w:pos="1800"/>
          <w:tab w:val="num" w:pos="284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4126C3"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4126C3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Mechaniczno-</w:t>
      </w:r>
      <w:r w:rsidR="00821D10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4126C3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16.10.2023</w:t>
      </w:r>
      <w:r w:rsidR="004126C3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4126C3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15.11.2023</w:t>
      </w:r>
      <w:r w:rsidR="00604D15" w:rsidRPr="004126C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 w:rsidRPr="004126C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B7097" w:rsidRPr="004126C3">
        <w:rPr>
          <w:rFonts w:cstheme="minorHAnsi"/>
          <w:color w:val="000000" w:themeColor="text1"/>
          <w:spacing w:val="-6"/>
          <w:sz w:val="20"/>
          <w:szCs w:val="20"/>
        </w:rPr>
        <w:t>8:00 – 15:0</w:t>
      </w:r>
      <w:r w:rsidR="00821D10" w:rsidRPr="004126C3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4CC073F4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0132645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9AFDEC3" w14:textId="77777777" w:rsidR="0025730B" w:rsidRP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w sprawie Norweskiego Mechanizmu Finansowego na lata 2014-2021 oraz Memorandum of Understanding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6E8A8B" w14:textId="77777777" w:rsidR="00AB7097" w:rsidRDefault="00AB7097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09AF88A" w:rsidR="00F94ED5" w:rsidRPr="00E7244F" w:rsidRDefault="00AB7097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       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4126C3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13.10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53A4E" w14:textId="77777777" w:rsidR="00914519" w:rsidRDefault="00914519" w:rsidP="00B72A59">
      <w:pPr>
        <w:spacing w:after="0" w:line="240" w:lineRule="auto"/>
      </w:pPr>
      <w:r>
        <w:separator/>
      </w:r>
    </w:p>
  </w:endnote>
  <w:endnote w:type="continuationSeparator" w:id="0">
    <w:p w14:paraId="27FAEE33" w14:textId="77777777" w:rsidR="00914519" w:rsidRDefault="00914519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C585" w14:textId="77777777" w:rsidR="00914519" w:rsidRDefault="00914519" w:rsidP="00B72A59">
      <w:pPr>
        <w:spacing w:after="0" w:line="240" w:lineRule="auto"/>
      </w:pPr>
      <w:r>
        <w:separator/>
      </w:r>
    </w:p>
  </w:footnote>
  <w:footnote w:type="continuationSeparator" w:id="0">
    <w:p w14:paraId="6963A060" w14:textId="77777777" w:rsidR="00914519" w:rsidRDefault="00914519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EF3682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010D6"/>
    <w:rsid w:val="0025730B"/>
    <w:rsid w:val="00257D6A"/>
    <w:rsid w:val="00267C03"/>
    <w:rsid w:val="00276ED7"/>
    <w:rsid w:val="00281D14"/>
    <w:rsid w:val="002A10FF"/>
    <w:rsid w:val="002C2EF6"/>
    <w:rsid w:val="002C3ADD"/>
    <w:rsid w:val="002C4566"/>
    <w:rsid w:val="002F6120"/>
    <w:rsid w:val="00307344"/>
    <w:rsid w:val="00310FDA"/>
    <w:rsid w:val="00350DCA"/>
    <w:rsid w:val="00351980"/>
    <w:rsid w:val="0036346F"/>
    <w:rsid w:val="003706F9"/>
    <w:rsid w:val="00396A07"/>
    <w:rsid w:val="003A0B59"/>
    <w:rsid w:val="003C189B"/>
    <w:rsid w:val="003E5DF0"/>
    <w:rsid w:val="003E7BE6"/>
    <w:rsid w:val="004126C3"/>
    <w:rsid w:val="00414DBF"/>
    <w:rsid w:val="00415C45"/>
    <w:rsid w:val="0042551E"/>
    <w:rsid w:val="00425B79"/>
    <w:rsid w:val="004412E4"/>
    <w:rsid w:val="00451D7C"/>
    <w:rsid w:val="004710CF"/>
    <w:rsid w:val="00471884"/>
    <w:rsid w:val="00476D12"/>
    <w:rsid w:val="0049670C"/>
    <w:rsid w:val="004A0BE3"/>
    <w:rsid w:val="004C3ABC"/>
    <w:rsid w:val="004D274C"/>
    <w:rsid w:val="004D315C"/>
    <w:rsid w:val="00523BA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4422F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14519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3C4B"/>
    <w:rsid w:val="00A01682"/>
    <w:rsid w:val="00A61D96"/>
    <w:rsid w:val="00A6320B"/>
    <w:rsid w:val="00AA5DA1"/>
    <w:rsid w:val="00AB1171"/>
    <w:rsid w:val="00AB6935"/>
    <w:rsid w:val="00AB7097"/>
    <w:rsid w:val="00AE0A92"/>
    <w:rsid w:val="00B048EF"/>
    <w:rsid w:val="00B121CA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870B4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85B66"/>
    <w:rsid w:val="00ED5949"/>
    <w:rsid w:val="00ED6083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81E87"/>
    <w:rsid w:val="00F94ED5"/>
    <w:rsid w:val="00FA1BF4"/>
    <w:rsid w:val="00FA5F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3171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3</cp:revision>
  <cp:lastPrinted>2022-03-11T11:08:00Z</cp:lastPrinted>
  <dcterms:created xsi:type="dcterms:W3CDTF">2023-10-13T10:14:00Z</dcterms:created>
  <dcterms:modified xsi:type="dcterms:W3CDTF">2023-10-13T10:19:00Z</dcterms:modified>
</cp:coreProperties>
</file>