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593179D6" w14:textId="77777777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62FC69E4" w14:textId="68712F53" w:rsid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proofErr w:type="spellStart"/>
      <w:r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110A4B"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el</w:t>
      </w:r>
      <w:proofErr w:type="spellEnd"/>
      <w:r w:rsidR="00110A4B"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: 15 844 89 12 </w:t>
      </w:r>
    </w:p>
    <w:p w14:paraId="5C8452CA" w14:textId="087731C3" w:rsid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  <w:proofErr w:type="spellStart"/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>e-mail</w:t>
      </w:r>
      <w:proofErr w:type="spellEnd"/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: </w:t>
      </w:r>
      <w:hyperlink r:id="rId8" w:history="1">
        <w:r w:rsidRPr="00F34BE7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  <w:lang w:val="de-DE"/>
          </w:rPr>
          <w:t>m.karwan@prz.edu.pl</w:t>
        </w:r>
      </w:hyperlink>
      <w:r w:rsidRPr="00F34BE7"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  <w:t xml:space="preserve"> </w:t>
      </w:r>
    </w:p>
    <w:p w14:paraId="5A1BFC27" w14:textId="77777777" w:rsidR="00F34BE7" w:rsidRPr="00F34BE7" w:rsidRDefault="00F34BE7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  <w:lang w:val="de-DE"/>
        </w:rPr>
      </w:pP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73DD897C" w14:textId="7713EB42" w:rsidR="00AE0A92" w:rsidRPr="00F81E87" w:rsidRDefault="00351980" w:rsidP="00AE0A92">
      <w:p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F81E87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="00AE0A92" w:rsidRPr="00F81E87">
        <w:rPr>
          <w:rFonts w:cstheme="minorHAnsi"/>
          <w:color w:val="000000"/>
          <w:spacing w:val="-6"/>
          <w:sz w:val="20"/>
          <w:szCs w:val="20"/>
        </w:rPr>
        <w:t>owane jest do</w:t>
      </w:r>
      <w:r w:rsidR="00931C25" w:rsidRPr="00F81E87">
        <w:rPr>
          <w:rFonts w:cstheme="minorHAnsi"/>
          <w:color w:val="000000"/>
          <w:spacing w:val="-6"/>
          <w:sz w:val="20"/>
          <w:szCs w:val="20"/>
        </w:rPr>
        <w:t xml:space="preserve"> studentów, </w:t>
      </w:r>
      <w:r w:rsidR="00931C25" w:rsidRPr="00F81E87">
        <w:rPr>
          <w:rFonts w:cstheme="minorHAnsi"/>
          <w:color w:val="000000" w:themeColor="text1"/>
          <w:spacing w:val="-6"/>
          <w:sz w:val="20"/>
          <w:szCs w:val="20"/>
        </w:rPr>
        <w:t>w szczególności tych, realizujących program studiów odpowiadający potrzebom przemysłu motoryzacyjnego z</w:t>
      </w:r>
      <w:r w:rsidR="00AE0A92" w:rsidRPr="00F81E87">
        <w:rPr>
          <w:rFonts w:cstheme="minorHAnsi"/>
          <w:color w:val="000000"/>
          <w:spacing w:val="-6"/>
          <w:sz w:val="20"/>
          <w:szCs w:val="20"/>
        </w:rPr>
        <w:t>:</w:t>
      </w:r>
    </w:p>
    <w:p w14:paraId="1A865657" w14:textId="03D802A0" w:rsidR="000D12B7" w:rsidRPr="00F81E87" w:rsidRDefault="000D12B7" w:rsidP="00931C25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uczelni wyższych</w:t>
      </w:r>
      <w:r w:rsidR="00AE0A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zl</w:t>
      </w:r>
      <w:r w:rsidR="00AE0A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okalizowanych na terenie </w:t>
      </w:r>
      <w:r w:rsidR="00931C25" w:rsidRPr="00F81E87">
        <w:rPr>
          <w:rFonts w:cstheme="minorHAnsi"/>
          <w:color w:val="000000" w:themeColor="text1"/>
          <w:spacing w:val="-6"/>
          <w:sz w:val="20"/>
          <w:szCs w:val="20"/>
        </w:rPr>
        <w:t>G</w:t>
      </w:r>
      <w:r w:rsidR="00AE0A92" w:rsidRPr="00F81E87">
        <w:rPr>
          <w:rFonts w:cstheme="minorHAnsi"/>
          <w:color w:val="000000" w:themeColor="text1"/>
          <w:spacing w:val="-6"/>
          <w:sz w:val="20"/>
          <w:szCs w:val="20"/>
        </w:rPr>
        <w:t>miny Stalowa Wola,</w:t>
      </w:r>
      <w:r w:rsidR="00931C25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06A1DF2C" w14:textId="1C4D5514" w:rsidR="00AE0A92" w:rsidRPr="00F81E87" w:rsidRDefault="00AE0A92" w:rsidP="00AE0A92">
      <w:pPr>
        <w:pStyle w:val="Akapitzlist"/>
        <w:numPr>
          <w:ilvl w:val="0"/>
          <w:numId w:val="37"/>
        </w:numPr>
        <w:suppressAutoHyphens/>
        <w:spacing w:after="0" w:line="216" w:lineRule="auto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 xml:space="preserve">innych uczelni, </w:t>
      </w:r>
      <w:r w:rsidR="00931C25" w:rsidRPr="00F81E87">
        <w:rPr>
          <w:rFonts w:cstheme="minorHAnsi"/>
          <w:color w:val="000000"/>
          <w:spacing w:val="-6"/>
          <w:sz w:val="20"/>
          <w:szCs w:val="20"/>
        </w:rPr>
        <w:t xml:space="preserve">pod warunkiem, iż studenci ci </w:t>
      </w:r>
      <w:r w:rsidRPr="00F81E87">
        <w:rPr>
          <w:rFonts w:cstheme="minorHAnsi"/>
          <w:color w:val="000000"/>
          <w:spacing w:val="-6"/>
          <w:sz w:val="20"/>
          <w:szCs w:val="20"/>
        </w:rPr>
        <w:t xml:space="preserve">mieszkają </w:t>
      </w:r>
      <w:r w:rsidR="00931C25" w:rsidRPr="00F81E87">
        <w:rPr>
          <w:rFonts w:cstheme="minorHAnsi"/>
          <w:color w:val="000000"/>
          <w:spacing w:val="-6"/>
          <w:sz w:val="20"/>
          <w:szCs w:val="20"/>
        </w:rPr>
        <w:br/>
      </w:r>
      <w:r w:rsidRPr="00F81E87">
        <w:rPr>
          <w:rFonts w:cstheme="minorHAnsi"/>
          <w:color w:val="000000"/>
          <w:spacing w:val="-6"/>
          <w:sz w:val="20"/>
          <w:szCs w:val="20"/>
        </w:rPr>
        <w:t>w Gminie Stalowa Wola.</w:t>
      </w:r>
    </w:p>
    <w:p w14:paraId="054DE5E5" w14:textId="11D597A1" w:rsidR="00A6320B" w:rsidRPr="00F81E87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3DBE1890" w14:textId="0BED5684" w:rsidR="001E4D92" w:rsidRPr="00F81E87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F81E87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F81E87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F81E87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618779A7" w14:textId="5E223EED" w:rsidR="00931C25" w:rsidRPr="00F81E87" w:rsidRDefault="00AE0A92" w:rsidP="00931C25">
      <w:pPr>
        <w:pStyle w:val="Akapitzlist"/>
        <w:widowControl w:val="0"/>
        <w:numPr>
          <w:ilvl w:val="2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Wsparcie obejmuje realizację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co najmniej </w:t>
      </w:r>
      <w:r w:rsidR="00AB7097">
        <w:rPr>
          <w:rFonts w:cstheme="minorHAnsi"/>
          <w:bCs/>
          <w:color w:val="000000" w:themeColor="text1"/>
          <w:spacing w:val="-6"/>
          <w:sz w:val="20"/>
          <w:szCs w:val="20"/>
        </w:rPr>
        <w:t>30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godzin dydaktycznych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seminariów </w:t>
      </w:r>
      <w:r w:rsidR="000D12B7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dla</w:t>
      </w:r>
      <w:r w:rsidR="00931C25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grupy co najmniej </w:t>
      </w:r>
      <w:r w:rsidR="000669B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6</w:t>
      </w:r>
      <w:r w:rsidR="00931C25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5</w:t>
      </w:r>
      <w:r w:rsidR="000D12B7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studentów</w:t>
      </w:r>
      <w:r w:rsidR="004710CF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42551E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w ramach Akademii </w:t>
      </w:r>
      <w:r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P</w:t>
      </w:r>
      <w:r w:rsidR="0042551E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rzemysłu 4.0</w:t>
      </w:r>
      <w:r w:rsidR="00C51E7E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</w:t>
      </w:r>
      <w:r w:rsidR="00C00E0B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edycja </w:t>
      </w:r>
      <w:r w:rsidR="002010D6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="000669B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="00C00E0B"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Pr="00F81E87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. 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Będą to zajęcia pilotażowe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prowadzone w oparciu o przygotowane w ramach projektu materiały dydaktyczn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e oraz zakupiony sprzęt. Seminaria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będą realizowane w </w:t>
      </w:r>
      <w:r w:rsidR="003E7BE6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dwóch</w:t>
      </w:r>
      <w:r w:rsidR="00BD64D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blokach tematycznych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, głownie w formie laboratoryjnej, pokazującej zastosowania najnowszych osiągnięć 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br/>
        <w:t>w dziedzinie informatyzacji i robotyzacji przemysłu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: </w:t>
      </w:r>
    </w:p>
    <w:p w14:paraId="634DCFFF" w14:textId="7AD8890E" w:rsidR="00931C25" w:rsidRPr="00B121CA" w:rsidRDefault="00931C25" w:rsidP="00931C25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16" w:lineRule="auto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Blok tematyczny I </w:t>
      </w:r>
      <w:r w:rsidR="00B121CA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>–</w:t>
      </w:r>
      <w:r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 </w:t>
      </w:r>
      <w:r w:rsidR="00B121CA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>Fizyka</w:t>
      </w:r>
    </w:p>
    <w:p w14:paraId="54061014" w14:textId="2796E703" w:rsidR="00B121CA" w:rsidRPr="00F81E87" w:rsidRDefault="00B121CA" w:rsidP="00931C25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16" w:lineRule="auto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Blok tematyczny II – Chemia </w:t>
      </w:r>
    </w:p>
    <w:p w14:paraId="07600E07" w14:textId="3D8507E7" w:rsidR="00931C25" w:rsidRPr="00F81E87" w:rsidRDefault="00931C25" w:rsidP="00931C25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16" w:lineRule="auto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Blok tematyczny II - </w:t>
      </w:r>
      <w:r w:rsidR="00B6166A" w:rsidRPr="00F81E87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>Technika</w:t>
      </w:r>
      <w:r w:rsidR="00B6166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</w:p>
    <w:p w14:paraId="121A272D" w14:textId="5EA46ABA" w:rsidR="00451D7C" w:rsidRPr="00F81E87" w:rsidRDefault="00826439" w:rsidP="00AE0A92">
      <w:pPr>
        <w:pStyle w:val="Akapitzlist"/>
        <w:widowControl w:val="0"/>
        <w:numPr>
          <w:ilvl w:val="2"/>
          <w:numId w:val="6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Podczas 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seminariów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dużo uwagi poświęcone zostanie odnawialnym ź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ródłom energii i trans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f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ormacji ener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g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etycznej, która aktualnie zyskuje w przemyśle nowy wymiar. </w:t>
      </w:r>
      <w:r w:rsidR="00BD64DA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Dzięki zakupionym 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w ramach projektu nowoczesnym urządzeniom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studenci </w:t>
      </w:r>
      <w:r w:rsidR="002C3ADD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będą mogli 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zapoznać się z zastosowaniami rzeczywistości rozszerzonej oraz sztucz</w:t>
      </w:r>
      <w:r w:rsidR="00415C4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n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ej inteli</w:t>
      </w:r>
      <w:r w:rsidR="00931C25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gencji w nowoczesnym przemyśle, a także poznać </w:t>
      </w: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nowoczesne techniki wytwarzania oraz </w:t>
      </w:r>
      <w:r w:rsidR="00532023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>nowoczesne metody ekologicznego wytwarzania energii.</w:t>
      </w:r>
      <w:r w:rsidR="00C51E7E"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</w:p>
    <w:p w14:paraId="44A046AB" w14:textId="089C78EC" w:rsidR="00923854" w:rsidRPr="00F81E87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Udział w</w:t>
      </w:r>
      <w:r w:rsidR="00F34BE7" w:rsidRPr="00F81E87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jest </w:t>
      </w:r>
      <w:r w:rsidR="00351980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F81E87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39F21A78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</w:t>
      </w:r>
      <w:r w:rsidR="00F34BE7" w:rsidRPr="00F81E87">
        <w:rPr>
          <w:rFonts w:cstheme="minorHAnsi"/>
          <w:color w:val="000000"/>
          <w:spacing w:val="-6"/>
          <w:sz w:val="20"/>
          <w:szCs w:val="20"/>
        </w:rPr>
        <w:t xml:space="preserve"> – blokach tematycznych</w:t>
      </w:r>
      <w:r w:rsidRPr="00F81E87">
        <w:rPr>
          <w:rFonts w:cstheme="minorHAnsi"/>
          <w:color w:val="000000"/>
          <w:spacing w:val="-6"/>
          <w:sz w:val="20"/>
          <w:szCs w:val="20"/>
        </w:rPr>
        <w:t>.</w:t>
      </w:r>
    </w:p>
    <w:p w14:paraId="3F2F30DF" w14:textId="77777777" w:rsidR="006F7852" w:rsidRPr="00F81E87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Wsparcie w ramach projektu realizowane będzie zgodnie z zasadą równości szans kobiet i mężczyzn oraz niedyskryminacji,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</w:t>
      </w:r>
      <w:r w:rsidRPr="00821D10">
        <w:rPr>
          <w:rFonts w:cstheme="minorHAnsi"/>
          <w:color w:val="000000" w:themeColor="text1"/>
          <w:spacing w:val="-6"/>
          <w:sz w:val="20"/>
          <w:szCs w:val="20"/>
        </w:rPr>
        <w:t xml:space="preserve">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17EE377A" w:rsidR="001E4D92" w:rsidRPr="00F81E87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realizacji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wsparcia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F81E87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44895130" w:rsidR="00923854" w:rsidRPr="00F81E87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>terminów oraz zaprzestania realizacji oferowan</w:t>
      </w:r>
      <w:r w:rsidR="00F34BE7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ego w ramach projektu </w:t>
      </w:r>
      <w:r w:rsidR="00923854" w:rsidRPr="00F81E87">
        <w:rPr>
          <w:rFonts w:cstheme="minorHAnsi"/>
          <w:color w:val="000000" w:themeColor="text1"/>
          <w:spacing w:val="-6"/>
          <w:sz w:val="20"/>
          <w:szCs w:val="20"/>
        </w:rPr>
        <w:t xml:space="preserve">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lastRenderedPageBreak/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13534B0E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3A0B59">
        <w:rPr>
          <w:rFonts w:cstheme="minorHAnsi"/>
          <w:b/>
          <w:color w:val="000000" w:themeColor="text1"/>
          <w:spacing w:val="-6"/>
          <w:sz w:val="20"/>
          <w:szCs w:val="20"/>
        </w:rPr>
        <w:t>08</w:t>
      </w:r>
      <w:bookmarkStart w:id="0" w:name="_GoBack"/>
      <w:bookmarkEnd w:id="0"/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AB7097">
        <w:rPr>
          <w:rFonts w:cstheme="minorHAnsi"/>
          <w:b/>
          <w:color w:val="000000" w:themeColor="text1"/>
          <w:spacing w:val="-6"/>
          <w:sz w:val="20"/>
          <w:szCs w:val="20"/>
        </w:rPr>
        <w:t>5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AB7097" w:rsidRPr="00AB7097">
        <w:rPr>
          <w:rFonts w:cstheme="minorHAnsi"/>
          <w:b/>
          <w:color w:val="000000" w:themeColor="text1"/>
          <w:spacing w:val="-6"/>
          <w:sz w:val="20"/>
          <w:szCs w:val="20"/>
        </w:rPr>
        <w:t>31</w:t>
      </w:r>
      <w:r w:rsidR="00AB7097">
        <w:rPr>
          <w:rFonts w:cstheme="minorHAnsi"/>
          <w:b/>
          <w:color w:val="000000" w:themeColor="text1"/>
          <w:spacing w:val="-6"/>
          <w:sz w:val="20"/>
          <w:szCs w:val="20"/>
        </w:rPr>
        <w:t>.05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415C4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. 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221BDD7D" w14:textId="77777777" w:rsidR="00F34BE7" w:rsidRPr="00F34BE7" w:rsidRDefault="005B076F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54449BAB" w14:textId="281B02D9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Uczestnik jest studentem </w:t>
      </w: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uczelni wyższych, zlokalizowanych na terenie Gminy Stalowa Wola – 1 pkt. (weryfikacja na podstawie zapisów w Karcie Uczestnika Projektu).</w:t>
      </w:r>
    </w:p>
    <w:p w14:paraId="00703E04" w14:textId="7106ACAB" w:rsidR="00F34BE7" w:rsidRPr="00F81E87" w:rsidRDefault="00F34BE7" w:rsidP="00F34BE7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Uczestnik jest studentem realizującym program studiów odpowiadający potrzebom przemysłu motoryzacyjnego – 1 pkt. (weryfikacja na podstawie zapisów w Karcie Uczestnika Projektu).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0A787008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AB7097" w:rsidRPr="00AB7097">
        <w:rPr>
          <w:rFonts w:cstheme="minorHAnsi"/>
          <w:b/>
          <w:color w:val="000000" w:themeColor="text1"/>
          <w:spacing w:val="-6"/>
          <w:sz w:val="20"/>
          <w:szCs w:val="20"/>
        </w:rPr>
        <w:t>05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.0</w:t>
      </w:r>
      <w:r w:rsidR="00AB7097">
        <w:rPr>
          <w:rFonts w:cstheme="minorHAnsi"/>
          <w:b/>
          <w:color w:val="000000" w:themeColor="text1"/>
          <w:spacing w:val="-6"/>
          <w:sz w:val="20"/>
          <w:szCs w:val="20"/>
        </w:rPr>
        <w:t>5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F34BE7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AB7097" w:rsidRPr="00AB7097">
        <w:rPr>
          <w:rFonts w:cstheme="minorHAnsi"/>
          <w:b/>
          <w:color w:val="000000" w:themeColor="text1"/>
          <w:spacing w:val="-6"/>
          <w:sz w:val="20"/>
          <w:szCs w:val="20"/>
        </w:rPr>
        <w:t>31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.0</w:t>
      </w:r>
      <w:r w:rsidR="00AB7097">
        <w:rPr>
          <w:rFonts w:cstheme="minorHAnsi"/>
          <w:b/>
          <w:color w:val="000000" w:themeColor="text1"/>
          <w:spacing w:val="-6"/>
          <w:sz w:val="20"/>
          <w:szCs w:val="20"/>
        </w:rPr>
        <w:t>5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.202</w:t>
      </w:r>
      <w:r w:rsidR="000669BA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F34BE7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AB7097">
        <w:rPr>
          <w:rFonts w:cstheme="minorHAnsi"/>
          <w:color w:val="000000" w:themeColor="text1"/>
          <w:spacing w:val="-6"/>
          <w:sz w:val="20"/>
          <w:szCs w:val="20"/>
        </w:rPr>
        <w:t>8:00 – 15:0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40AD1362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5E7A53E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zakwalifikowanych 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wsparcia, a także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2281409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F34BE7">
        <w:rPr>
          <w:rFonts w:cstheme="minorHAnsi"/>
          <w:color w:val="000000" w:themeColor="text1"/>
          <w:spacing w:val="-6"/>
          <w:sz w:val="20"/>
          <w:szCs w:val="20"/>
        </w:rPr>
        <w:t>o zakwalifikowaniu do udziału we wsparciu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2A1663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wsparcia, jak i w trakcie je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3C1D57DC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15 844-89-12; 606-309-813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i a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9" w:history="1">
        <w:r w:rsidR="00110A4B" w:rsidRPr="00562AA8">
          <w:rPr>
            <w:rStyle w:val="Hipercze"/>
            <w:rFonts w:cstheme="minorHAnsi"/>
            <w:spacing w:val="-6"/>
            <w:sz w:val="20"/>
            <w:szCs w:val="20"/>
          </w:rPr>
          <w:t>m.karwan@prz.edu.pl</w:t>
        </w:r>
      </w:hyperlink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4CC073F4" w14:textId="77777777" w:rsidR="0025730B" w:rsidRDefault="0025730B" w:rsidP="0025730B">
      <w:pPr>
        <w:tabs>
          <w:tab w:val="num" w:pos="851"/>
        </w:tabs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0132645" w14:textId="77777777" w:rsidR="0025730B" w:rsidRDefault="0025730B" w:rsidP="0025730B">
      <w:pPr>
        <w:tabs>
          <w:tab w:val="num" w:pos="851"/>
        </w:tabs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9AFDEC3" w14:textId="77777777" w:rsidR="0025730B" w:rsidRPr="0025730B" w:rsidRDefault="0025730B" w:rsidP="0025730B">
      <w:pPr>
        <w:tabs>
          <w:tab w:val="num" w:pos="851"/>
        </w:tabs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24293A2D" w14:textId="77777777" w:rsidR="00604D15" w:rsidRDefault="00604D15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0E09D8CF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>3 lub więcej seminariów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seminariów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77777777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435433D6" w14:textId="77777777" w:rsidR="00DE6517" w:rsidRPr="00E21C8E" w:rsidRDefault="00DE6517" w:rsidP="00F94ED5">
      <w:pPr>
        <w:tabs>
          <w:tab w:val="num" w:pos="284"/>
        </w:tabs>
        <w:suppressAutoHyphens/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2ACF32E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35-959 Rzeszów </w:t>
      </w:r>
    </w:p>
    <w:p w14:paraId="121ACE9D" w14:textId="402535DB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10" w:history="1">
        <w:r w:rsidR="00110A4B" w:rsidRPr="0025730B">
          <w:rPr>
            <w:rStyle w:val="Hipercze"/>
            <w:rFonts w:cstheme="minorHAnsi"/>
            <w:color w:val="000000" w:themeColor="text1"/>
            <w:sz w:val="20"/>
            <w:szCs w:val="20"/>
            <w:bdr w:val="none" w:sz="0" w:space="0" w:color="auto" w:frame="1"/>
          </w:rPr>
          <w:t>m.podgorska@prz.edu.pl</w:t>
        </w:r>
      </w:hyperlink>
      <w:r w:rsidR="00110A4B" w:rsidRPr="0025730B">
        <w:rPr>
          <w:rFonts w:cstheme="minorHAnsi"/>
          <w:color w:val="000000" w:themeColor="text1"/>
          <w:sz w:val="20"/>
          <w:szCs w:val="20"/>
        </w:rPr>
        <w:t xml:space="preserve"> </w:t>
      </w:r>
      <w:r w:rsidR="00B2418F" w:rsidRPr="0025730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 w:rsidRP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+48 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17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75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, 17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 </w:t>
      </w:r>
      <w:r w:rsidR="00110A4B" w:rsidRPr="0025730B">
        <w:rPr>
          <w:rFonts w:cstheme="minorHAnsi"/>
          <w:color w:val="000000" w:themeColor="text1"/>
          <w:sz w:val="20"/>
          <w:szCs w:val="20"/>
        </w:rPr>
        <w:t>865</w:t>
      </w:r>
      <w:r w:rsidR="0025730B" w:rsidRPr="0025730B">
        <w:rPr>
          <w:rFonts w:cstheme="minorHAnsi"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13</w:t>
      </w:r>
      <w:r w:rsidR="0025730B" w:rsidRPr="0025730B">
        <w:rPr>
          <w:rFonts w:cstheme="minorHAnsi"/>
          <w:bCs/>
          <w:color w:val="000000" w:themeColor="text1"/>
          <w:sz w:val="20"/>
          <w:szCs w:val="20"/>
        </w:rPr>
        <w:t>-</w:t>
      </w:r>
      <w:r w:rsidR="00110A4B" w:rsidRPr="0025730B">
        <w:rPr>
          <w:rFonts w:cstheme="minorHAnsi"/>
          <w:bCs/>
          <w:color w:val="000000" w:themeColor="text1"/>
          <w:sz w:val="20"/>
          <w:szCs w:val="20"/>
        </w:rPr>
        <w:t>44</w:t>
      </w:r>
      <w:r w:rsidR="0025730B">
        <w:rPr>
          <w:rFonts w:cstheme="minorHAnsi"/>
          <w:bCs/>
          <w:color w:val="000000" w:themeColor="text1"/>
          <w:sz w:val="20"/>
          <w:szCs w:val="20"/>
        </w:rPr>
        <w:t>,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a także pocztą tradycyjną pod adresem</w:t>
      </w:r>
      <w:r w:rsidR="00DD418B"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25730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248EFE28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lastRenderedPageBreak/>
        <w:t>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0262101F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>Prawo</w:t>
      </w:r>
      <w:r w:rsidR="0025730B">
        <w:rPr>
          <w:rFonts w:cstheme="minorHAnsi"/>
          <w:color w:val="000000" w:themeColor="text1"/>
          <w:spacing w:val="-6"/>
          <w:sz w:val="20"/>
          <w:szCs w:val="20"/>
        </w:rPr>
        <w:t xml:space="preserve"> o szkolnictwie wyższym i nauce,</w:t>
      </w:r>
    </w:p>
    <w:p w14:paraId="2806FC04" w14:textId="77777777" w:rsidR="007D3574" w:rsidRDefault="00310FDA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2EFEE7B1" w:rsidR="00310FDA" w:rsidRPr="00F81E87" w:rsidRDefault="007D3574" w:rsidP="007D357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81E87">
        <w:rPr>
          <w:rFonts w:cstheme="minorHAnsi"/>
          <w:color w:val="000000" w:themeColor="text1"/>
          <w:spacing w:val="-6"/>
          <w:sz w:val="20"/>
          <w:szCs w:val="20"/>
        </w:rPr>
        <w:t>ustawy z dnia 11 września 2019 r. Prawo zamówień publicznych</w:t>
      </w:r>
      <w:r w:rsidR="00310FDA" w:rsidRPr="00F81E87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6E8A8B" w14:textId="77777777" w:rsidR="00AB7097" w:rsidRDefault="00AB7097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0BCFCA29" w:rsidR="00F94ED5" w:rsidRPr="00E7244F" w:rsidRDefault="00AB7097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       </w:t>
      </w:r>
      <w:r w:rsidR="00F94ED5"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>
        <w:rPr>
          <w:rFonts w:cstheme="minorHAnsi"/>
          <w:b/>
          <w:i/>
          <w:color w:val="000000" w:themeColor="text1"/>
          <w:spacing w:val="-6"/>
          <w:sz w:val="19"/>
          <w:szCs w:val="19"/>
        </w:rPr>
        <w:t>05.05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="00F94ED5"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</w:t>
      </w:r>
      <w:r>
        <w:rPr>
          <w:rFonts w:cstheme="minorHAnsi"/>
          <w:b/>
          <w:i/>
          <w:color w:val="000000" w:themeColor="text1"/>
          <w:spacing w:val="-6"/>
          <w:sz w:val="19"/>
          <w:szCs w:val="19"/>
        </w:rPr>
        <w:t>3</w:t>
      </w:r>
      <w:r w:rsidR="00F94ED5"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1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191CC" w14:textId="77777777" w:rsidR="004412E4" w:rsidRDefault="004412E4" w:rsidP="00B72A59">
      <w:pPr>
        <w:spacing w:after="0" w:line="240" w:lineRule="auto"/>
      </w:pPr>
      <w:r>
        <w:separator/>
      </w:r>
    </w:p>
  </w:endnote>
  <w:endnote w:type="continuationSeparator" w:id="0">
    <w:p w14:paraId="7746AD89" w14:textId="77777777" w:rsidR="004412E4" w:rsidRDefault="004412E4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FFE59" w14:textId="77777777" w:rsidR="004412E4" w:rsidRDefault="004412E4" w:rsidP="00B72A59">
      <w:pPr>
        <w:spacing w:after="0" w:line="240" w:lineRule="auto"/>
      </w:pPr>
      <w:r>
        <w:separator/>
      </w:r>
    </w:p>
  </w:footnote>
  <w:footnote w:type="continuationSeparator" w:id="0">
    <w:p w14:paraId="6A5EA84E" w14:textId="77777777" w:rsidR="004412E4" w:rsidRDefault="004412E4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EF36820E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26B74E7"/>
    <w:multiLevelType w:val="hybridMultilevel"/>
    <w:tmpl w:val="163435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8" w15:restartNumberingAfterBreak="0">
    <w:nsid w:val="5EA232BF"/>
    <w:multiLevelType w:val="hybridMultilevel"/>
    <w:tmpl w:val="23829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DA5484"/>
    <w:multiLevelType w:val="hybridMultilevel"/>
    <w:tmpl w:val="0BBED2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4"/>
  </w:num>
  <w:num w:numId="2">
    <w:abstractNumId w:val="4"/>
  </w:num>
  <w:num w:numId="3">
    <w:abstractNumId w:val="8"/>
  </w:num>
  <w:num w:numId="4">
    <w:abstractNumId w:val="27"/>
  </w:num>
  <w:num w:numId="5">
    <w:abstractNumId w:val="20"/>
  </w:num>
  <w:num w:numId="6">
    <w:abstractNumId w:val="31"/>
  </w:num>
  <w:num w:numId="7">
    <w:abstractNumId w:val="33"/>
  </w:num>
  <w:num w:numId="8">
    <w:abstractNumId w:val="2"/>
  </w:num>
  <w:num w:numId="9">
    <w:abstractNumId w:val="35"/>
  </w:num>
  <w:num w:numId="10">
    <w:abstractNumId w:val="0"/>
  </w:num>
  <w:num w:numId="11">
    <w:abstractNumId w:val="26"/>
  </w:num>
  <w:num w:numId="12">
    <w:abstractNumId w:val="6"/>
  </w:num>
  <w:num w:numId="13">
    <w:abstractNumId w:val="21"/>
  </w:num>
  <w:num w:numId="14">
    <w:abstractNumId w:val="22"/>
  </w:num>
  <w:num w:numId="15">
    <w:abstractNumId w:val="25"/>
  </w:num>
  <w:num w:numId="16">
    <w:abstractNumId w:val="11"/>
  </w:num>
  <w:num w:numId="17">
    <w:abstractNumId w:val="32"/>
  </w:num>
  <w:num w:numId="18">
    <w:abstractNumId w:val="7"/>
  </w:num>
  <w:num w:numId="19">
    <w:abstractNumId w:val="16"/>
  </w:num>
  <w:num w:numId="20">
    <w:abstractNumId w:val="23"/>
  </w:num>
  <w:num w:numId="21">
    <w:abstractNumId w:val="13"/>
  </w:num>
  <w:num w:numId="22">
    <w:abstractNumId w:val="12"/>
  </w:num>
  <w:num w:numId="23">
    <w:abstractNumId w:val="30"/>
  </w:num>
  <w:num w:numId="24">
    <w:abstractNumId w:val="3"/>
  </w:num>
  <w:num w:numId="25">
    <w:abstractNumId w:val="37"/>
  </w:num>
  <w:num w:numId="26">
    <w:abstractNumId w:val="18"/>
  </w:num>
  <w:num w:numId="27">
    <w:abstractNumId w:val="1"/>
  </w:num>
  <w:num w:numId="28">
    <w:abstractNumId w:val="17"/>
  </w:num>
  <w:num w:numId="29">
    <w:abstractNumId w:val="5"/>
  </w:num>
  <w:num w:numId="30">
    <w:abstractNumId w:val="9"/>
  </w:num>
  <w:num w:numId="31">
    <w:abstractNumId w:val="10"/>
  </w:num>
  <w:num w:numId="32">
    <w:abstractNumId w:val="15"/>
  </w:num>
  <w:num w:numId="33">
    <w:abstractNumId w:val="24"/>
  </w:num>
  <w:num w:numId="34">
    <w:abstractNumId w:val="19"/>
  </w:num>
  <w:num w:numId="35">
    <w:abstractNumId w:val="29"/>
  </w:num>
  <w:num w:numId="36">
    <w:abstractNumId w:val="14"/>
  </w:num>
  <w:num w:numId="37">
    <w:abstractNumId w:val="28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3B34950-E32F-4EB8-BC98-6E9A8F28FC7E}"/>
  </w:docVars>
  <w:rsids>
    <w:rsidRoot w:val="00B72A59"/>
    <w:rsid w:val="00002EF2"/>
    <w:rsid w:val="000115B4"/>
    <w:rsid w:val="00011959"/>
    <w:rsid w:val="00040885"/>
    <w:rsid w:val="000669BA"/>
    <w:rsid w:val="000D12B7"/>
    <w:rsid w:val="000D3597"/>
    <w:rsid w:val="00110A4B"/>
    <w:rsid w:val="00135001"/>
    <w:rsid w:val="001421FB"/>
    <w:rsid w:val="00143890"/>
    <w:rsid w:val="00161987"/>
    <w:rsid w:val="00170667"/>
    <w:rsid w:val="00170694"/>
    <w:rsid w:val="001B7233"/>
    <w:rsid w:val="001D0FA2"/>
    <w:rsid w:val="001D2ECF"/>
    <w:rsid w:val="001E4D92"/>
    <w:rsid w:val="001E7FAA"/>
    <w:rsid w:val="001F631E"/>
    <w:rsid w:val="00200568"/>
    <w:rsid w:val="002010D6"/>
    <w:rsid w:val="0025730B"/>
    <w:rsid w:val="00257D6A"/>
    <w:rsid w:val="00267C03"/>
    <w:rsid w:val="00276ED7"/>
    <w:rsid w:val="00281D14"/>
    <w:rsid w:val="002A10FF"/>
    <w:rsid w:val="002C2EF6"/>
    <w:rsid w:val="002C3ADD"/>
    <w:rsid w:val="002C4566"/>
    <w:rsid w:val="002F6120"/>
    <w:rsid w:val="00307344"/>
    <w:rsid w:val="00310FDA"/>
    <w:rsid w:val="00350DCA"/>
    <w:rsid w:val="00351980"/>
    <w:rsid w:val="0036346F"/>
    <w:rsid w:val="003706F9"/>
    <w:rsid w:val="00396A07"/>
    <w:rsid w:val="003A0B59"/>
    <w:rsid w:val="003C189B"/>
    <w:rsid w:val="003E5DF0"/>
    <w:rsid w:val="003E7BE6"/>
    <w:rsid w:val="00414DBF"/>
    <w:rsid w:val="00415C45"/>
    <w:rsid w:val="0042551E"/>
    <w:rsid w:val="00425B79"/>
    <w:rsid w:val="004412E4"/>
    <w:rsid w:val="00451D7C"/>
    <w:rsid w:val="004710CF"/>
    <w:rsid w:val="00471884"/>
    <w:rsid w:val="00476D12"/>
    <w:rsid w:val="0049670C"/>
    <w:rsid w:val="004A0BE3"/>
    <w:rsid w:val="004C3ABC"/>
    <w:rsid w:val="004D274C"/>
    <w:rsid w:val="004D315C"/>
    <w:rsid w:val="00523BA5"/>
    <w:rsid w:val="00532023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71BBB"/>
    <w:rsid w:val="00582D69"/>
    <w:rsid w:val="005A3DAA"/>
    <w:rsid w:val="005B076F"/>
    <w:rsid w:val="005D68E9"/>
    <w:rsid w:val="005D6F85"/>
    <w:rsid w:val="00604D15"/>
    <w:rsid w:val="00612F3E"/>
    <w:rsid w:val="006207E4"/>
    <w:rsid w:val="00635E70"/>
    <w:rsid w:val="0064422F"/>
    <w:rsid w:val="00657CFB"/>
    <w:rsid w:val="00680D7D"/>
    <w:rsid w:val="00683431"/>
    <w:rsid w:val="006911F3"/>
    <w:rsid w:val="00696862"/>
    <w:rsid w:val="006A765F"/>
    <w:rsid w:val="006B0BA8"/>
    <w:rsid w:val="006B5CF2"/>
    <w:rsid w:val="006C613D"/>
    <w:rsid w:val="006C64C7"/>
    <w:rsid w:val="006C78F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B5245"/>
    <w:rsid w:val="007B5665"/>
    <w:rsid w:val="007B60FC"/>
    <w:rsid w:val="007D1101"/>
    <w:rsid w:val="007D3574"/>
    <w:rsid w:val="007F5397"/>
    <w:rsid w:val="00812959"/>
    <w:rsid w:val="00821D10"/>
    <w:rsid w:val="00826439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31C25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9F3C4B"/>
    <w:rsid w:val="00A01682"/>
    <w:rsid w:val="00A61D96"/>
    <w:rsid w:val="00A6320B"/>
    <w:rsid w:val="00AA5DA1"/>
    <w:rsid w:val="00AB1171"/>
    <w:rsid w:val="00AB6935"/>
    <w:rsid w:val="00AB7097"/>
    <w:rsid w:val="00AE0A92"/>
    <w:rsid w:val="00B048EF"/>
    <w:rsid w:val="00B121CA"/>
    <w:rsid w:val="00B15C2F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C4833"/>
    <w:rsid w:val="00BD64DA"/>
    <w:rsid w:val="00C00E0B"/>
    <w:rsid w:val="00C07649"/>
    <w:rsid w:val="00C111F9"/>
    <w:rsid w:val="00C210AC"/>
    <w:rsid w:val="00C33271"/>
    <w:rsid w:val="00C4098B"/>
    <w:rsid w:val="00C51E7E"/>
    <w:rsid w:val="00C66C85"/>
    <w:rsid w:val="00C758E3"/>
    <w:rsid w:val="00CA3612"/>
    <w:rsid w:val="00CC2EA8"/>
    <w:rsid w:val="00CD57D4"/>
    <w:rsid w:val="00CE0361"/>
    <w:rsid w:val="00D20FE4"/>
    <w:rsid w:val="00D24BB5"/>
    <w:rsid w:val="00D36F1B"/>
    <w:rsid w:val="00D37D12"/>
    <w:rsid w:val="00D43F0E"/>
    <w:rsid w:val="00D45187"/>
    <w:rsid w:val="00D47009"/>
    <w:rsid w:val="00D51CCB"/>
    <w:rsid w:val="00D5340F"/>
    <w:rsid w:val="00D5457E"/>
    <w:rsid w:val="00D7099E"/>
    <w:rsid w:val="00D86C15"/>
    <w:rsid w:val="00D90533"/>
    <w:rsid w:val="00D94649"/>
    <w:rsid w:val="00DB12A4"/>
    <w:rsid w:val="00DC054A"/>
    <w:rsid w:val="00DD1F02"/>
    <w:rsid w:val="00DD3657"/>
    <w:rsid w:val="00DD418B"/>
    <w:rsid w:val="00DD604C"/>
    <w:rsid w:val="00DD6ED0"/>
    <w:rsid w:val="00DE0D7E"/>
    <w:rsid w:val="00DE6517"/>
    <w:rsid w:val="00DF1DCB"/>
    <w:rsid w:val="00E21C8E"/>
    <w:rsid w:val="00E240AF"/>
    <w:rsid w:val="00E42A13"/>
    <w:rsid w:val="00E7244F"/>
    <w:rsid w:val="00ED5949"/>
    <w:rsid w:val="00ED6083"/>
    <w:rsid w:val="00F20DA5"/>
    <w:rsid w:val="00F23638"/>
    <w:rsid w:val="00F328BE"/>
    <w:rsid w:val="00F34BE7"/>
    <w:rsid w:val="00F513E5"/>
    <w:rsid w:val="00F5200E"/>
    <w:rsid w:val="00F55E86"/>
    <w:rsid w:val="00F61E14"/>
    <w:rsid w:val="00F61FC4"/>
    <w:rsid w:val="00F70DC0"/>
    <w:rsid w:val="00F81E87"/>
    <w:rsid w:val="00F94ED5"/>
    <w:rsid w:val="00FA1BF4"/>
    <w:rsid w:val="00FA5FC8"/>
    <w:rsid w:val="00F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C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C4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0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0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0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0B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rwan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podgorska@prz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karwan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3B34950-E32F-4EB8-BC98-6E9A8F28FC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4</Pages>
  <Words>3180</Words>
  <Characters>19082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S SC</cp:lastModifiedBy>
  <cp:revision>3</cp:revision>
  <cp:lastPrinted>2022-03-11T11:08:00Z</cp:lastPrinted>
  <dcterms:created xsi:type="dcterms:W3CDTF">2023-05-05T07:45:00Z</dcterms:created>
  <dcterms:modified xsi:type="dcterms:W3CDTF">2023-05-08T12:00:00Z</dcterms:modified>
</cp:coreProperties>
</file>